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DFDF" w14:textId="77777777" w:rsidR="00F85D86" w:rsidRPr="00D44E4E" w:rsidRDefault="00F85D86" w:rsidP="00D44E4E">
      <w:pPr>
        <w:spacing w:after="0" w:line="294" w:lineRule="atLeast"/>
        <w:jc w:val="both"/>
        <w:rPr>
          <w:rFonts w:ascii="Arial" w:hAnsi="Arial" w:cs="Arial"/>
          <w:b/>
          <w:bCs/>
          <w:color w:val="146A90"/>
          <w:sz w:val="40"/>
          <w:szCs w:val="40"/>
        </w:rPr>
      </w:pPr>
      <w:r w:rsidRPr="00D44E4E">
        <w:rPr>
          <w:rFonts w:ascii="Arial" w:hAnsi="Arial" w:cs="Arial"/>
          <w:b/>
          <w:bCs/>
          <w:color w:val="146A90"/>
          <w:sz w:val="40"/>
          <w:szCs w:val="40"/>
        </w:rPr>
        <w:t>LE DOTAZIONI (</w:t>
      </w:r>
      <w:r w:rsidR="00447846" w:rsidRPr="00D44E4E">
        <w:rPr>
          <w:rFonts w:ascii="Arial" w:hAnsi="Arial" w:cs="Arial"/>
          <w:b/>
          <w:bCs/>
          <w:color w:val="146A90"/>
          <w:sz w:val="40"/>
          <w:szCs w:val="40"/>
        </w:rPr>
        <w:t>2</w:t>
      </w:r>
      <w:r w:rsidRPr="00D44E4E">
        <w:rPr>
          <w:rFonts w:ascii="Arial" w:hAnsi="Arial" w:cs="Arial"/>
          <w:b/>
          <w:bCs/>
          <w:color w:val="146A90"/>
          <w:sz w:val="40"/>
          <w:szCs w:val="40"/>
        </w:rPr>
        <w:t xml:space="preserve">) NELLA CITTA’ COSTRUITA CHE DEVE CAMBIARE </w:t>
      </w:r>
      <w:r w:rsidR="00896047" w:rsidRPr="00D44E4E">
        <w:rPr>
          <w:rFonts w:ascii="Arial" w:hAnsi="Arial" w:cs="Arial"/>
          <w:b/>
          <w:bCs/>
          <w:color w:val="146A90"/>
          <w:sz w:val="40"/>
          <w:szCs w:val="40"/>
        </w:rPr>
        <w:t>(EMERGENZA ECOLOGIC</w:t>
      </w:r>
      <w:r w:rsidR="00FB0DEF" w:rsidRPr="00D44E4E">
        <w:rPr>
          <w:rFonts w:ascii="Arial" w:hAnsi="Arial" w:cs="Arial"/>
          <w:b/>
          <w:bCs/>
          <w:color w:val="146A90"/>
          <w:sz w:val="40"/>
          <w:szCs w:val="40"/>
        </w:rPr>
        <w:t>A</w:t>
      </w:r>
      <w:r w:rsidR="00896047" w:rsidRPr="00D44E4E">
        <w:rPr>
          <w:rFonts w:ascii="Arial" w:hAnsi="Arial" w:cs="Arial"/>
          <w:b/>
          <w:bCs/>
          <w:color w:val="146A90"/>
          <w:sz w:val="40"/>
          <w:szCs w:val="40"/>
        </w:rPr>
        <w:t>-AMBIENTALE)</w:t>
      </w:r>
    </w:p>
    <w:p w14:paraId="03512F21" w14:textId="77777777" w:rsidR="00F85D86" w:rsidRPr="00D44E4E" w:rsidRDefault="00F85D86" w:rsidP="00F85D86">
      <w:pPr>
        <w:rPr>
          <w:rFonts w:ascii="Arial" w:hAnsi="Arial" w:cs="Arial"/>
          <w:b/>
          <w:bCs/>
          <w:color w:val="146A90"/>
          <w:sz w:val="48"/>
          <w:szCs w:val="48"/>
        </w:rPr>
      </w:pPr>
    </w:p>
    <w:p w14:paraId="5C89B28B" w14:textId="77777777" w:rsidR="00446053" w:rsidRPr="00D44E4E" w:rsidRDefault="00446053" w:rsidP="00D44E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44E4E">
        <w:rPr>
          <w:rFonts w:ascii="Arial" w:hAnsi="Arial" w:cs="Arial"/>
          <w:b/>
          <w:bCs/>
          <w:sz w:val="24"/>
          <w:szCs w:val="24"/>
        </w:rPr>
        <w:t xml:space="preserve">Trasformazioni complesse: da produttivo a residenziale. La cessione di aree per le nuove opere pubbliche. L’equa distribuzione o redistribuzione degli obblighi nella città costruita. </w:t>
      </w:r>
    </w:p>
    <w:p w14:paraId="29936920" w14:textId="77777777" w:rsidR="00446053" w:rsidRPr="00D44E4E" w:rsidRDefault="00446053" w:rsidP="00F85D86">
      <w:pPr>
        <w:rPr>
          <w:rFonts w:ascii="Arial" w:hAnsi="Arial" w:cs="Arial"/>
          <w:b/>
          <w:bCs/>
          <w:sz w:val="24"/>
          <w:szCs w:val="24"/>
        </w:rPr>
      </w:pPr>
    </w:p>
    <w:p w14:paraId="1734A6F3" w14:textId="77777777" w:rsidR="000F419E" w:rsidRPr="00D44E4E" w:rsidRDefault="000F419E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Nei piani di nuova generazione le aree da cedere sono diversificate: sono previste aree per dotazioni ecologico-ambientale, per nuove infrastrutture, rinvio alla LR 24/2017 in particolare art. </w:t>
      </w:r>
      <w:r w:rsidR="00C316E0" w:rsidRPr="00D44E4E">
        <w:rPr>
          <w:rFonts w:ascii="Arial" w:eastAsia="Times New Roman" w:hAnsi="Arial" w:cs="Arial"/>
          <w:color w:val="080809"/>
          <w:kern w:val="0"/>
          <w:lang w:eastAsia="it-IT"/>
        </w:rPr>
        <w:t>21 e 34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.</w:t>
      </w:r>
      <w:r w:rsidR="00BB2D35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La traduzione nell’a</w:t>
      </w:r>
      <w:r w:rsidR="00D44E4E" w:rsidRPr="00D44E4E">
        <w:rPr>
          <w:rFonts w:ascii="Arial" w:eastAsia="Times New Roman" w:hAnsi="Arial" w:cs="Arial"/>
          <w:color w:val="080809"/>
          <w:kern w:val="0"/>
          <w:lang w:eastAsia="it-IT"/>
        </w:rPr>
        <w:t>r</w:t>
      </w:r>
      <w:r w:rsidR="00BB2D35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t. 4 delle DU del PUG di Modena. </w:t>
      </w:r>
    </w:p>
    <w:p w14:paraId="59F58634" w14:textId="77777777" w:rsidR="000F419E" w:rsidRPr="00D44E4E" w:rsidRDefault="000F419E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3B2A4F22" w14:textId="77777777" w:rsidR="000F419E" w:rsidRPr="00D44E4E" w:rsidRDefault="000F419E" w:rsidP="000F419E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Nei piani post dm 1969 la quantificazione dell’onere di cessione è maggiore di quello previsto dal dm stesso.  In breve: il produttivo cede poche aree (meno del 20%) il residenziale (che è maggiormente esigente di servizi) il 50% circa. </w:t>
      </w:r>
    </w:p>
    <w:p w14:paraId="612AA7D0" w14:textId="77777777" w:rsidR="000F419E" w:rsidRPr="00D44E4E" w:rsidRDefault="000F419E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3C74B5F2" w14:textId="77777777" w:rsidR="00446053" w:rsidRPr="00D44E4E" w:rsidRDefault="00446053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Cosa accade quando un contesto produttivo diventa residenziale (o commerciale/direzionale)? </w:t>
      </w:r>
    </w:p>
    <w:p w14:paraId="6474E785" w14:textId="77777777" w:rsidR="00446053" w:rsidRPr="00D44E4E" w:rsidRDefault="00446053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73E2B4A7" w14:textId="77777777" w:rsidR="00446053" w:rsidRPr="00D44E4E" w:rsidRDefault="00446053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I più recenti provvedimenti (vedasi salva casa) e altri disegni di legge (</w:t>
      </w:r>
      <w:r w:rsidR="00F85D86" w:rsidRPr="00D44E4E">
        <w:rPr>
          <w:rFonts w:ascii="Arial" w:eastAsia="Times New Roman" w:hAnsi="Arial" w:cs="Arial"/>
          <w:color w:val="080809"/>
          <w:kern w:val="0"/>
          <w:lang w:eastAsia="it-IT"/>
        </w:rPr>
        <w:t>dl “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salva</w:t>
      </w:r>
      <w:r w:rsidR="00F85D86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Milano”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, </w:t>
      </w:r>
      <w:r w:rsidR="00F17F52">
        <w:rPr>
          <w:rFonts w:ascii="Arial" w:eastAsia="Times New Roman" w:hAnsi="Arial" w:cs="Arial"/>
          <w:color w:val="080809"/>
          <w:kern w:val="0"/>
          <w:lang w:eastAsia="it-IT"/>
        </w:rPr>
        <w:t>disegno di legge sulla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rigenerazione) esonerano dall’obbligo della cessione quando si sia in presenza di “</w:t>
      </w:r>
      <w:r w:rsidRPr="00D44E4E">
        <w:rPr>
          <w:rFonts w:ascii="Arial" w:eastAsia="Times New Roman" w:hAnsi="Arial" w:cs="Arial"/>
          <w:b/>
          <w:bCs/>
          <w:i/>
          <w:iCs/>
          <w:color w:val="080809"/>
          <w:kern w:val="0"/>
          <w:lang w:eastAsia="it-IT"/>
        </w:rPr>
        <w:t>una struttura urbana definita e urbanizzata,</w:t>
      </w:r>
      <w:r w:rsidRPr="00D44E4E">
        <w:rPr>
          <w:rFonts w:ascii="Arial" w:eastAsia="Times New Roman" w:hAnsi="Arial" w:cs="Arial"/>
          <w:i/>
          <w:iCs/>
          <w:color w:val="080809"/>
          <w:kern w:val="0"/>
          <w:lang w:eastAsia="it-IT"/>
        </w:rPr>
        <w:t xml:space="preserve"> ferma restando la verifica di </w:t>
      </w:r>
      <w:r w:rsidRPr="00D44E4E">
        <w:rPr>
          <w:rFonts w:ascii="Arial" w:eastAsia="Times New Roman" w:hAnsi="Arial" w:cs="Arial"/>
          <w:b/>
          <w:bCs/>
          <w:i/>
          <w:iCs/>
          <w:color w:val="080809"/>
          <w:kern w:val="0"/>
          <w:lang w:eastAsia="it-IT"/>
        </w:rPr>
        <w:t>adeguatezza</w:t>
      </w:r>
      <w:r w:rsidRPr="00D44E4E">
        <w:rPr>
          <w:rFonts w:ascii="Arial" w:eastAsia="Times New Roman" w:hAnsi="Arial" w:cs="Arial"/>
          <w:i/>
          <w:iCs/>
          <w:color w:val="080809"/>
          <w:kern w:val="0"/>
          <w:lang w:eastAsia="it-IT"/>
        </w:rPr>
        <w:t xml:space="preserve"> delle dotazioni territoriali e degli standard sulla base dei piani urbanistici </w:t>
      </w:r>
      <w:proofErr w:type="gramStart"/>
      <w:r w:rsidRPr="00D44E4E">
        <w:rPr>
          <w:rFonts w:ascii="Arial" w:eastAsia="Times New Roman" w:hAnsi="Arial" w:cs="Arial"/>
          <w:i/>
          <w:iCs/>
          <w:color w:val="080809"/>
          <w:kern w:val="0"/>
          <w:lang w:eastAsia="it-IT"/>
        </w:rPr>
        <w:t>comunali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”*</w:t>
      </w:r>
      <w:proofErr w:type="gramEnd"/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.</w:t>
      </w:r>
    </w:p>
    <w:p w14:paraId="5B39549E" w14:textId="77777777" w:rsidR="00446053" w:rsidRPr="00D44E4E" w:rsidRDefault="00446053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4170053E" w14:textId="77777777" w:rsidR="00446053" w:rsidRPr="00D44E4E" w:rsidRDefault="00446053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Formulazione </w:t>
      </w:r>
      <w:r w:rsidR="00F85D86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lasca,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che si presta a molte </w:t>
      </w:r>
      <w:r w:rsidR="00F85D86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(troppe)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interpretazioni</w:t>
      </w:r>
      <w:r w:rsidR="00BB2D35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;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in ogni caso demanda </w:t>
      </w:r>
      <w:r w:rsidR="00BB2D35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a una verifica 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rispetto </w:t>
      </w:r>
      <w:r w:rsidR="00BB2D35" w:rsidRPr="00D44E4E">
        <w:rPr>
          <w:rFonts w:ascii="Arial" w:eastAsia="Times New Roman" w:hAnsi="Arial" w:cs="Arial"/>
          <w:color w:val="080809"/>
          <w:kern w:val="0"/>
          <w:lang w:eastAsia="it-IT"/>
        </w:rPr>
        <w:t>a quanto dispone i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l Piano e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 rimette il tutto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alla volontà dell’organo rappresentativo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 delle comunità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: 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il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Consiglio comunale. </w:t>
      </w:r>
    </w:p>
    <w:p w14:paraId="0185FF2F" w14:textId="77777777" w:rsidR="00446053" w:rsidRPr="00D44E4E" w:rsidRDefault="00446053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0C9B5185" w14:textId="77777777" w:rsidR="00446053" w:rsidRPr="00D44E4E" w:rsidRDefault="00446053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Alcune riflessioni </w:t>
      </w:r>
      <w:r w:rsidR="00256A66" w:rsidRPr="00D44E4E">
        <w:rPr>
          <w:rFonts w:ascii="Arial" w:eastAsia="Times New Roman" w:hAnsi="Arial" w:cs="Arial"/>
          <w:color w:val="080809"/>
          <w:kern w:val="0"/>
          <w:lang w:eastAsia="it-IT"/>
        </w:rPr>
        <w:t>in disordine</w:t>
      </w:r>
      <w:r w:rsidR="00EC6B72" w:rsidRPr="00D44E4E">
        <w:rPr>
          <w:rFonts w:ascii="Arial" w:eastAsia="Times New Roman" w:hAnsi="Arial" w:cs="Arial"/>
          <w:color w:val="080809"/>
          <w:kern w:val="0"/>
          <w:lang w:eastAsia="it-IT"/>
        </w:rPr>
        <w:t>:</w:t>
      </w:r>
    </w:p>
    <w:p w14:paraId="3D930B92" w14:textId="77777777" w:rsidR="00446053" w:rsidRPr="00D44E4E" w:rsidRDefault="00446053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4D2FC47B" w14:textId="1EC37DE2" w:rsidR="00446053" w:rsidRPr="00D44E4E" w:rsidRDefault="00446053" w:rsidP="00BE6128">
      <w:pPr>
        <w:pStyle w:val="Paragrafoelenco"/>
        <w:numPr>
          <w:ilvl w:val="0"/>
          <w:numId w:val="3"/>
        </w:num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Questa </w:t>
      </w:r>
      <w:r w:rsidR="00EC6B72" w:rsidRPr="00BA313F">
        <w:rPr>
          <w:rFonts w:ascii="Arial" w:eastAsia="Times New Roman" w:hAnsi="Arial" w:cs="Arial"/>
          <w:color w:val="080809"/>
          <w:kern w:val="0"/>
          <w:lang w:eastAsia="it-IT"/>
        </w:rPr>
        <w:t xml:space="preserve">disposizione </w:t>
      </w:r>
      <w:r w:rsidR="005F7DF3" w:rsidRPr="00BA313F">
        <w:rPr>
          <w:rFonts w:ascii="Arial" w:eastAsia="Times New Roman" w:hAnsi="Arial" w:cs="Arial"/>
          <w:color w:val="080809"/>
          <w:kern w:val="0"/>
          <w:lang w:eastAsia="it-IT"/>
        </w:rPr>
        <w:t xml:space="preserve">si </w:t>
      </w:r>
      <w:r w:rsidR="00EC6B72" w:rsidRPr="00BA313F">
        <w:rPr>
          <w:rFonts w:ascii="Arial" w:eastAsia="Times New Roman" w:hAnsi="Arial" w:cs="Arial"/>
          <w:color w:val="080809"/>
          <w:kern w:val="0"/>
          <w:lang w:eastAsia="it-IT"/>
        </w:rPr>
        <w:t>deve qualificare</w:t>
      </w:r>
      <w:r w:rsidR="00EC6B72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come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bonus: </w:t>
      </w:r>
      <w:r w:rsidR="00EC6B72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a fronte di questa riduzione,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nessuna contropartita (parco, alloggi a prezzi convenzionati), nessun condizionamento (livello di degrado, necessità di bonifiche, qualità progettuale, rinnovazione parti pubbliche). </w:t>
      </w:r>
    </w:p>
    <w:p w14:paraId="3C917C26" w14:textId="77777777" w:rsidR="00446053" w:rsidRPr="00D44E4E" w:rsidRDefault="00446053" w:rsidP="00BE6128">
      <w:pPr>
        <w:pStyle w:val="Paragrafoelenco"/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34549300" w14:textId="77777777" w:rsidR="00F17F52" w:rsidRDefault="00446053" w:rsidP="00BE6128">
      <w:pPr>
        <w:pStyle w:val="Paragrafoelenco"/>
        <w:numPr>
          <w:ilvl w:val="0"/>
          <w:numId w:val="3"/>
        </w:num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lastRenderedPageBreak/>
        <w:t xml:space="preserve">Si 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>riducono le aree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da acquisire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 xml:space="preserve"> da parte dei Comuni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, mettendo quindi le mani nelle tasche degli enti locali, che per realizzare </w:t>
      </w:r>
      <w:r w:rsidR="00EC6B72" w:rsidRPr="00D44E4E">
        <w:rPr>
          <w:rFonts w:ascii="Arial" w:eastAsia="Times New Roman" w:hAnsi="Arial" w:cs="Arial"/>
          <w:color w:val="080809"/>
          <w:kern w:val="0"/>
          <w:lang w:eastAsia="it-IT"/>
        </w:rPr>
        <w:t>OOPP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dovranno procedere ad espropri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>. Tutto ciò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ben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sapendo (a pensar male…) che i Comuni sono </w:t>
      </w:r>
      <w:r w:rsidR="00F17F52">
        <w:rPr>
          <w:rFonts w:ascii="Arial" w:eastAsia="Times New Roman" w:hAnsi="Arial" w:cs="Arial"/>
          <w:color w:val="080809"/>
          <w:kern w:val="0"/>
          <w:lang w:eastAsia="it-IT"/>
        </w:rPr>
        <w:t>esa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>nimi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(economicamente e in risorse umane…</w:t>
      </w:r>
      <w:r w:rsidR="00F17F52">
        <w:rPr>
          <w:rFonts w:ascii="Arial" w:eastAsia="Times New Roman" w:hAnsi="Arial" w:cs="Arial"/>
          <w:color w:val="080809"/>
          <w:kern w:val="0"/>
          <w:lang w:eastAsia="it-IT"/>
        </w:rPr>
        <w:t xml:space="preserve">tagliare è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un modo per portarle all’immobilismo e, peggio ancora, </w:t>
      </w:r>
      <w:r w:rsidR="00F17F52">
        <w:rPr>
          <w:rFonts w:ascii="Arial" w:eastAsia="Times New Roman" w:hAnsi="Arial" w:cs="Arial"/>
          <w:color w:val="080809"/>
          <w:kern w:val="0"/>
          <w:lang w:eastAsia="it-IT"/>
        </w:rPr>
        <w:t>all’i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 xml:space="preserve">mpossibilità </w:t>
      </w:r>
      <w:r w:rsidR="00F17F52">
        <w:rPr>
          <w:rFonts w:ascii="Arial" w:eastAsia="Times New Roman" w:hAnsi="Arial" w:cs="Arial"/>
          <w:color w:val="080809"/>
          <w:kern w:val="0"/>
          <w:lang w:eastAsia="it-IT"/>
        </w:rPr>
        <w:t>di reprimere gli illeciti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)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. </w:t>
      </w:r>
    </w:p>
    <w:p w14:paraId="2B982EA2" w14:textId="77777777" w:rsidR="00F17F52" w:rsidRPr="00F17F52" w:rsidRDefault="00F17F52" w:rsidP="00F17F52">
      <w:pPr>
        <w:pStyle w:val="Paragrafoelenco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0841C935" w14:textId="77777777" w:rsidR="00446053" w:rsidRPr="00D44E4E" w:rsidRDefault="00564E3E" w:rsidP="00BE6128">
      <w:pPr>
        <w:pStyle w:val="Paragrafoelenco"/>
        <w:numPr>
          <w:ilvl w:val="0"/>
          <w:numId w:val="3"/>
        </w:num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>
        <w:rPr>
          <w:rFonts w:ascii="Arial" w:eastAsia="Times New Roman" w:hAnsi="Arial" w:cs="Arial"/>
          <w:color w:val="080809"/>
          <w:kern w:val="0"/>
          <w:lang w:eastAsia="it-IT"/>
        </w:rPr>
        <w:t xml:space="preserve">I Comuni </w:t>
      </w:r>
      <w:r w:rsidR="00446053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difficilmente sono in grado di rivedere </w:t>
      </w:r>
      <w:r>
        <w:rPr>
          <w:rFonts w:ascii="Arial" w:eastAsia="Times New Roman" w:hAnsi="Arial" w:cs="Arial"/>
          <w:color w:val="080809"/>
          <w:kern w:val="0"/>
          <w:lang w:eastAsia="it-IT"/>
        </w:rPr>
        <w:t xml:space="preserve">in breve e </w:t>
      </w:r>
      <w:r w:rsidR="00446053" w:rsidRPr="00D44E4E">
        <w:rPr>
          <w:rFonts w:ascii="Arial" w:eastAsia="Times New Roman" w:hAnsi="Arial" w:cs="Arial"/>
          <w:color w:val="080809"/>
          <w:kern w:val="0"/>
          <w:lang w:eastAsia="it-IT"/>
        </w:rPr>
        <w:t>sostanzialmente i piani vigenti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 xml:space="preserve"> e sono una netta minoranza i Comuni che hanno piani adeguate alle sfide di questo secolo</w:t>
      </w:r>
      <w:r>
        <w:rPr>
          <w:rFonts w:ascii="Arial" w:eastAsia="Times New Roman" w:hAnsi="Arial" w:cs="Arial"/>
          <w:color w:val="080809"/>
          <w:kern w:val="0"/>
          <w:lang w:eastAsia="it-IT"/>
        </w:rPr>
        <w:t xml:space="preserve">; pertanto </w:t>
      </w:r>
      <w:r w:rsidR="00446053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se si </w:t>
      </w:r>
      <w:r>
        <w:rPr>
          <w:rFonts w:ascii="Arial" w:eastAsia="Times New Roman" w:hAnsi="Arial" w:cs="Arial"/>
          <w:color w:val="080809"/>
          <w:kern w:val="0"/>
          <w:lang w:eastAsia="it-IT"/>
        </w:rPr>
        <w:t xml:space="preserve">faranno le valutazioni richieste 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 xml:space="preserve">dal “salva casa” </w:t>
      </w:r>
      <w:r>
        <w:rPr>
          <w:rFonts w:ascii="Arial" w:eastAsia="Times New Roman" w:hAnsi="Arial" w:cs="Arial"/>
          <w:color w:val="080809"/>
          <w:kern w:val="0"/>
          <w:lang w:eastAsia="it-IT"/>
        </w:rPr>
        <w:t>sulla base de</w:t>
      </w:r>
      <w:r w:rsidR="00446053" w:rsidRPr="00D44E4E">
        <w:rPr>
          <w:rFonts w:ascii="Arial" w:eastAsia="Times New Roman" w:hAnsi="Arial" w:cs="Arial"/>
          <w:color w:val="080809"/>
          <w:kern w:val="0"/>
          <w:lang w:eastAsia="it-IT"/>
        </w:rPr>
        <w:t>i piani generali</w:t>
      </w:r>
      <w:r>
        <w:rPr>
          <w:rFonts w:ascii="Arial" w:eastAsia="Times New Roman" w:hAnsi="Arial" w:cs="Arial"/>
          <w:color w:val="080809"/>
          <w:kern w:val="0"/>
          <w:lang w:eastAsia="it-IT"/>
        </w:rPr>
        <w:t xml:space="preserve"> vigenti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 xml:space="preserve">, </w:t>
      </w:r>
      <w:r>
        <w:rPr>
          <w:rFonts w:ascii="Arial" w:eastAsia="Times New Roman" w:hAnsi="Arial" w:cs="Arial"/>
          <w:color w:val="080809"/>
          <w:kern w:val="0"/>
          <w:lang w:eastAsia="it-IT"/>
        </w:rPr>
        <w:t>vecchi di decenni</w:t>
      </w:r>
      <w:r w:rsidR="00446053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(ancora quelli che governavano prevalentemente l’espansione) </w:t>
      </w:r>
      <w:r>
        <w:rPr>
          <w:rFonts w:ascii="Arial" w:eastAsia="Times New Roman" w:hAnsi="Arial" w:cs="Arial"/>
          <w:color w:val="080809"/>
          <w:kern w:val="0"/>
          <w:lang w:eastAsia="it-IT"/>
        </w:rPr>
        <w:t xml:space="preserve">sarà difficile un cambio di prospettiva. </w:t>
      </w:r>
    </w:p>
    <w:p w14:paraId="5ED0AD40" w14:textId="77777777" w:rsidR="00446053" w:rsidRPr="00D44E4E" w:rsidRDefault="00446053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06935688" w14:textId="2EC5F7AE" w:rsidR="00F17F52" w:rsidRDefault="00446053" w:rsidP="00BE6128">
      <w:pPr>
        <w:pStyle w:val="Paragrafoelenco"/>
        <w:numPr>
          <w:ilvl w:val="0"/>
          <w:numId w:val="3"/>
        </w:num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Si esonera dalla cessione</w:t>
      </w:r>
      <w:r w:rsidR="00822E3F">
        <w:rPr>
          <w:rFonts w:ascii="Arial" w:eastAsia="Times New Roman" w:hAnsi="Arial" w:cs="Arial"/>
          <w:color w:val="080809"/>
          <w:kern w:val="0"/>
          <w:lang w:eastAsia="it-IT"/>
        </w:rPr>
        <w:t>,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ovviamente</w:t>
      </w:r>
      <w:r w:rsidR="00822E3F">
        <w:rPr>
          <w:rFonts w:ascii="Arial" w:eastAsia="Times New Roman" w:hAnsi="Arial" w:cs="Arial"/>
          <w:color w:val="080809"/>
          <w:kern w:val="0"/>
          <w:lang w:eastAsia="it-IT"/>
        </w:rPr>
        <w:t>,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della differenza tra quanto già ceduto in origine e quanto richiesto per la nuova destinazione (rinvio)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. </w:t>
      </w:r>
    </w:p>
    <w:p w14:paraId="5D6B508F" w14:textId="77777777" w:rsidR="00F17F52" w:rsidRPr="00F17F52" w:rsidRDefault="00F17F52" w:rsidP="00F17F52">
      <w:pPr>
        <w:pStyle w:val="Paragrafoelenco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78FE5DC8" w14:textId="6F9B2ACD" w:rsidR="00446053" w:rsidRPr="00D44E4E" w:rsidRDefault="000B5EC4" w:rsidP="00BE6128">
      <w:pPr>
        <w:pStyle w:val="Paragrafoelenco"/>
        <w:numPr>
          <w:ilvl w:val="0"/>
          <w:numId w:val="3"/>
        </w:num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>
        <w:rPr>
          <w:rFonts w:ascii="Arial" w:eastAsia="Times New Roman" w:hAnsi="Arial" w:cs="Arial"/>
          <w:color w:val="080809"/>
          <w:kern w:val="0"/>
          <w:lang w:eastAsia="it-IT"/>
        </w:rPr>
        <w:t>Siamo inoltre n presenza di un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 esonero che crea un’evidente</w:t>
      </w:r>
      <w:r w:rsidR="00446053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disparità</w:t>
      </w:r>
      <w:r>
        <w:rPr>
          <w:rFonts w:ascii="Arial" w:eastAsia="Times New Roman" w:hAnsi="Arial" w:cs="Arial"/>
          <w:color w:val="080809"/>
          <w:kern w:val="0"/>
          <w:lang w:eastAsia="it-IT"/>
        </w:rPr>
        <w:t xml:space="preserve"> di trattamento 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>tra aree (</w:t>
      </w:r>
      <w:r w:rsidR="005778AB">
        <w:rPr>
          <w:rFonts w:ascii="Arial" w:eastAsia="Times New Roman" w:hAnsi="Arial" w:cs="Arial"/>
          <w:color w:val="080809"/>
          <w:kern w:val="0"/>
          <w:lang w:eastAsia="it-IT"/>
        </w:rPr>
        <w:t>le dotazioni sono un onere/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obbligo reale - </w:t>
      </w:r>
      <w:proofErr w:type="spellStart"/>
      <w:r w:rsidR="00564E3E">
        <w:rPr>
          <w:rFonts w:ascii="Arial" w:eastAsia="Times New Roman" w:hAnsi="Arial" w:cs="Arial"/>
          <w:color w:val="080809"/>
          <w:kern w:val="0"/>
          <w:lang w:eastAsia="it-IT"/>
        </w:rPr>
        <w:t>propter</w:t>
      </w:r>
      <w:proofErr w:type="spellEnd"/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 rem)</w:t>
      </w:r>
      <w:r>
        <w:rPr>
          <w:rFonts w:ascii="Arial" w:eastAsia="Times New Roman" w:hAnsi="Arial" w:cs="Arial"/>
          <w:color w:val="080809"/>
          <w:kern w:val="0"/>
          <w:lang w:eastAsia="it-IT"/>
        </w:rPr>
        <w:t xml:space="preserve">; 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l’esonero </w:t>
      </w:r>
      <w:r w:rsidR="00822E3F" w:rsidRPr="00BA313F">
        <w:rPr>
          <w:rFonts w:ascii="Arial" w:eastAsia="Times New Roman" w:hAnsi="Arial" w:cs="Arial"/>
          <w:color w:val="080809"/>
          <w:kern w:val="0"/>
          <w:lang w:eastAsia="it-IT"/>
        </w:rPr>
        <w:t>inoltre</w:t>
      </w:r>
      <w:r w:rsidR="00822E3F">
        <w:rPr>
          <w:rFonts w:ascii="Arial" w:eastAsia="Times New Roman" w:hAnsi="Arial" w:cs="Arial"/>
          <w:color w:val="080809"/>
          <w:kern w:val="0"/>
          <w:lang w:eastAsia="it-IT"/>
        </w:rPr>
        <w:t xml:space="preserve"> </w:t>
      </w:r>
      <w:r w:rsidR="00446053" w:rsidRPr="00D44E4E">
        <w:rPr>
          <w:rFonts w:ascii="Arial" w:eastAsia="Times New Roman" w:hAnsi="Arial" w:cs="Arial"/>
          <w:color w:val="080809"/>
          <w:kern w:val="0"/>
          <w:lang w:eastAsia="it-IT"/>
        </w:rPr>
        <w:t>non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 avviene </w:t>
      </w:r>
      <w:r w:rsidR="00446053" w:rsidRPr="00D44E4E">
        <w:rPr>
          <w:rFonts w:ascii="Arial" w:eastAsia="Times New Roman" w:hAnsi="Arial" w:cs="Arial"/>
          <w:color w:val="080809"/>
          <w:kern w:val="0"/>
          <w:lang w:eastAsia="it-IT"/>
        </w:rPr>
        <w:t>in ragione di quanto le aree oggetto di intervento abbiano già ceduto</w:t>
      </w:r>
      <w:r w:rsidR="00F17F52">
        <w:rPr>
          <w:rFonts w:ascii="Arial" w:eastAsia="Times New Roman" w:hAnsi="Arial" w:cs="Arial"/>
          <w:color w:val="080809"/>
          <w:kern w:val="0"/>
          <w:lang w:eastAsia="it-IT"/>
        </w:rPr>
        <w:t>, ma sulla base dell’esistenza di opere esistenti</w:t>
      </w:r>
      <w:r w:rsidR="00446053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per interventi di terzi o addirittura con opere pubbliche 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realizzate </w:t>
      </w:r>
      <w:r w:rsidR="00446053" w:rsidRPr="00D44E4E">
        <w:rPr>
          <w:rFonts w:ascii="Arial" w:eastAsia="Times New Roman" w:hAnsi="Arial" w:cs="Arial"/>
          <w:color w:val="080809"/>
          <w:kern w:val="0"/>
          <w:lang w:eastAsia="it-IT"/>
        </w:rPr>
        <w:t>a spese del bilancio comunale</w:t>
      </w:r>
      <w:r w:rsidR="00F17F52">
        <w:rPr>
          <w:rFonts w:ascii="Arial" w:eastAsia="Times New Roman" w:hAnsi="Arial" w:cs="Arial"/>
          <w:color w:val="080809"/>
          <w:kern w:val="0"/>
          <w:lang w:eastAsia="it-IT"/>
        </w:rPr>
        <w:t xml:space="preserve"> (un favore per le aree parassite).</w:t>
      </w:r>
    </w:p>
    <w:p w14:paraId="5160A7B5" w14:textId="77777777" w:rsidR="00446053" w:rsidRPr="00D44E4E" w:rsidRDefault="00446053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040EB3E2" w14:textId="77777777" w:rsidR="00446053" w:rsidRPr="00D44E4E" w:rsidRDefault="00446053" w:rsidP="00BE6128">
      <w:pPr>
        <w:pStyle w:val="Paragrafoelenco"/>
        <w:numPr>
          <w:ilvl w:val="0"/>
          <w:numId w:val="3"/>
        </w:num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Si omette</w:t>
      </w:r>
      <w:r w:rsidR="00F17F52">
        <w:rPr>
          <w:rFonts w:ascii="Arial" w:eastAsia="Times New Roman" w:hAnsi="Arial" w:cs="Arial"/>
          <w:color w:val="080809"/>
          <w:kern w:val="0"/>
          <w:lang w:eastAsia="it-IT"/>
        </w:rPr>
        <w:t xml:space="preserve"> di prevedere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, in sostituzione della cessione</w:t>
      </w:r>
      <w:r w:rsidR="00564E3E">
        <w:rPr>
          <w:rFonts w:ascii="Arial" w:eastAsia="Times New Roman" w:hAnsi="Arial" w:cs="Arial"/>
          <w:color w:val="080809"/>
          <w:kern w:val="0"/>
          <w:lang w:eastAsia="it-IT"/>
        </w:rPr>
        <w:t xml:space="preserve">, l’obbligo 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>della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monetizzazione, opzione che garantirebbe 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 xml:space="preserve">inoltre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parità di trattamento, quindi </w:t>
      </w:r>
      <w:r w:rsidR="005778AB">
        <w:rPr>
          <w:rFonts w:ascii="Arial" w:eastAsia="Times New Roman" w:hAnsi="Arial" w:cs="Arial"/>
          <w:color w:val="080809"/>
          <w:kern w:val="0"/>
          <w:lang w:eastAsia="it-IT"/>
        </w:rPr>
        <w:t>un’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equa distribuzione del contributo urbanistico (perequazione)</w:t>
      </w:r>
      <w:r w:rsidR="00F17F52">
        <w:rPr>
          <w:rFonts w:ascii="Arial" w:eastAsia="Times New Roman" w:hAnsi="Arial" w:cs="Arial"/>
          <w:color w:val="080809"/>
          <w:kern w:val="0"/>
          <w:lang w:eastAsia="it-IT"/>
        </w:rPr>
        <w:t xml:space="preserve"> materiale o per equivalente economico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.</w:t>
      </w:r>
    </w:p>
    <w:p w14:paraId="43179282" w14:textId="77777777" w:rsidR="00446053" w:rsidRPr="00D44E4E" w:rsidRDefault="00446053" w:rsidP="00BE6128">
      <w:pPr>
        <w:pStyle w:val="Paragrafoelenco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7A5C61E9" w14:textId="77777777" w:rsidR="00446053" w:rsidRPr="00D44E4E" w:rsidRDefault="00446053" w:rsidP="00BE6128">
      <w:pPr>
        <w:pStyle w:val="Paragrafoelenco"/>
        <w:numPr>
          <w:ilvl w:val="0"/>
          <w:numId w:val="3"/>
        </w:num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La monetizzazione potrebbe essere 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>utilizzata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, nella negoziazione col privato, 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 xml:space="preserve">per intervenire sullo spazio pubblico o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per ridurre i canoni di locazione di una quota degli alloggi</w:t>
      </w:r>
      <w:r w:rsidR="00F85D86" w:rsidRPr="00D44E4E">
        <w:rPr>
          <w:rFonts w:ascii="Arial" w:eastAsia="Times New Roman" w:hAnsi="Arial" w:cs="Arial"/>
          <w:color w:val="080809"/>
          <w:kern w:val="0"/>
          <w:lang w:eastAsia="it-IT"/>
        </w:rPr>
        <w:t>.</w:t>
      </w:r>
    </w:p>
    <w:p w14:paraId="45251BEF" w14:textId="77777777" w:rsidR="00446053" w:rsidRPr="00D44E4E" w:rsidRDefault="00446053" w:rsidP="00BE6128">
      <w:pPr>
        <w:pStyle w:val="Paragrafoelenco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3BAD7611" w14:textId="77777777" w:rsidR="00446053" w:rsidRPr="00D44E4E" w:rsidRDefault="00446053" w:rsidP="00BE6128">
      <w:pPr>
        <w:pStyle w:val="Paragrafoelenco"/>
        <w:numPr>
          <w:ilvl w:val="0"/>
          <w:numId w:val="3"/>
        </w:num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Le aree di U1 o 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 xml:space="preserve">la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monetizzazione potrebbero garantire nuove infrastrutture per la mobilità (pedonale e ciclabile) e il rinnovamento delle infrastrutture esistenti, sia in ragione dei diversi o maggiori carichi urbanistici, sia per innovarli rispetto ai cambiamenti climatici e trasformazione degli eventi estremi in ordinari (fognature degli anni 70, forte sigillazione del territorio…)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>.</w:t>
      </w:r>
    </w:p>
    <w:p w14:paraId="089746A4" w14:textId="77777777" w:rsidR="00446053" w:rsidRPr="00D44E4E" w:rsidRDefault="00446053" w:rsidP="00BE6128">
      <w:pPr>
        <w:pStyle w:val="Paragrafoelenco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2E7DBA9A" w14:textId="5204799B" w:rsidR="00446053" w:rsidRPr="00D44E4E" w:rsidRDefault="00446053" w:rsidP="00BE6128">
      <w:pPr>
        <w:pStyle w:val="Paragrafoelenco"/>
        <w:numPr>
          <w:ilvl w:val="0"/>
          <w:numId w:val="3"/>
        </w:num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Le aree </w:t>
      </w:r>
      <w:r w:rsidRPr="00BA313F">
        <w:rPr>
          <w:rFonts w:ascii="Arial" w:eastAsia="Times New Roman" w:hAnsi="Arial" w:cs="Arial"/>
          <w:color w:val="080809"/>
          <w:kern w:val="0"/>
          <w:lang w:eastAsia="it-IT"/>
        </w:rPr>
        <w:t xml:space="preserve">di </w:t>
      </w:r>
      <w:r w:rsidR="000D1FEB" w:rsidRPr="00BA313F">
        <w:rPr>
          <w:rFonts w:ascii="Arial" w:eastAsia="Times New Roman" w:hAnsi="Arial" w:cs="Arial"/>
          <w:color w:val="080809"/>
          <w:kern w:val="0"/>
          <w:lang w:eastAsia="it-IT"/>
        </w:rPr>
        <w:t>U2</w:t>
      </w:r>
      <w:r w:rsidR="00BA313F" w:rsidRPr="00BA313F">
        <w:rPr>
          <w:rFonts w:ascii="Arial" w:eastAsia="Times New Roman" w:hAnsi="Arial" w:cs="Arial"/>
          <w:color w:val="080809"/>
          <w:kern w:val="0"/>
          <w:lang w:eastAsia="it-IT"/>
        </w:rPr>
        <w:t>,</w:t>
      </w:r>
      <w:r w:rsidRPr="00BA313F">
        <w:rPr>
          <w:rFonts w:ascii="Arial" w:eastAsia="Times New Roman" w:hAnsi="Arial" w:cs="Arial"/>
          <w:color w:val="080809"/>
          <w:kern w:val="0"/>
          <w:lang w:eastAsia="it-IT"/>
        </w:rPr>
        <w:t xml:space="preserve"> o </w:t>
      </w:r>
      <w:r w:rsidR="000D1FEB" w:rsidRPr="00BA313F">
        <w:rPr>
          <w:rFonts w:ascii="Arial" w:eastAsia="Times New Roman" w:hAnsi="Arial" w:cs="Arial"/>
          <w:color w:val="080809"/>
          <w:kern w:val="0"/>
          <w:lang w:eastAsia="it-IT"/>
        </w:rPr>
        <w:t xml:space="preserve">la </w:t>
      </w:r>
      <w:r w:rsidRPr="00BA313F">
        <w:rPr>
          <w:rFonts w:ascii="Arial" w:eastAsia="Times New Roman" w:hAnsi="Arial" w:cs="Arial"/>
          <w:color w:val="080809"/>
          <w:kern w:val="0"/>
          <w:lang w:eastAsia="it-IT"/>
        </w:rPr>
        <w:t>monetizzazione</w:t>
      </w:r>
      <w:r w:rsidR="00BA313F" w:rsidRPr="00BA313F">
        <w:rPr>
          <w:rFonts w:ascii="Arial" w:eastAsia="Times New Roman" w:hAnsi="Arial" w:cs="Arial"/>
          <w:color w:val="080809"/>
          <w:kern w:val="0"/>
          <w:lang w:eastAsia="it-IT"/>
        </w:rPr>
        <w:t>,</w:t>
      </w:r>
      <w:r w:rsidRPr="00BA313F">
        <w:rPr>
          <w:rFonts w:ascii="Arial" w:eastAsia="Times New Roman" w:hAnsi="Arial" w:cs="Arial"/>
          <w:color w:val="080809"/>
          <w:kern w:val="0"/>
          <w:lang w:eastAsia="it-IT"/>
        </w:rPr>
        <w:t xml:space="preserve"> consentirebbero di realizzare nuove infrastrutture ecologico – ambientali: realizzare boschi urbani, corridoi ecologici, vasche</w:t>
      </w:r>
      <w:r w:rsidR="000D1FEB" w:rsidRPr="00BA313F">
        <w:rPr>
          <w:rFonts w:ascii="Arial" w:eastAsia="Times New Roman" w:hAnsi="Arial" w:cs="Arial"/>
          <w:color w:val="080809"/>
          <w:kern w:val="0"/>
          <w:lang w:eastAsia="it-IT"/>
        </w:rPr>
        <w:t xml:space="preserve"> di</w:t>
      </w:r>
      <w:r w:rsidRPr="00BA313F">
        <w:rPr>
          <w:rFonts w:ascii="Arial" w:eastAsia="Times New Roman" w:hAnsi="Arial" w:cs="Arial"/>
          <w:color w:val="080809"/>
          <w:kern w:val="0"/>
          <w:lang w:eastAsia="it-IT"/>
        </w:rPr>
        <w:t xml:space="preserve"> laminazione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e giardini della pioggia</w:t>
      </w:r>
      <w:r w:rsidR="00F85D86" w:rsidRPr="00D44E4E">
        <w:rPr>
          <w:rFonts w:ascii="Arial" w:eastAsia="Times New Roman" w:hAnsi="Arial" w:cs="Arial"/>
          <w:color w:val="080809"/>
          <w:kern w:val="0"/>
          <w:lang w:eastAsia="it-IT"/>
        </w:rPr>
        <w:t>…</w:t>
      </w:r>
    </w:p>
    <w:p w14:paraId="286C6230" w14:textId="77777777" w:rsidR="00446053" w:rsidRPr="00D44E4E" w:rsidRDefault="00446053" w:rsidP="00BE6128">
      <w:pPr>
        <w:pStyle w:val="Paragrafoelenco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60FFA6C6" w14:textId="77777777" w:rsidR="00446053" w:rsidRPr="00D44E4E" w:rsidRDefault="00446053" w:rsidP="00BE6128">
      <w:pPr>
        <w:pStyle w:val="Paragrafoelenco"/>
        <w:numPr>
          <w:ilvl w:val="0"/>
          <w:numId w:val="3"/>
        </w:num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lastRenderedPageBreak/>
        <w:t>Le aree di U2 sono utilizzabili anche per realizzare politiche abitative, riservando le aree di cessione agli interventi di edilizia convenzionata e popolare</w:t>
      </w:r>
      <w:r w:rsidR="00F85D86" w:rsidRPr="00D44E4E">
        <w:rPr>
          <w:rFonts w:ascii="Arial" w:eastAsia="Times New Roman" w:hAnsi="Arial" w:cs="Arial"/>
          <w:color w:val="080809"/>
          <w:kern w:val="0"/>
          <w:lang w:eastAsia="it-IT"/>
        </w:rPr>
        <w:t>.</w:t>
      </w:r>
    </w:p>
    <w:p w14:paraId="4AADE3E1" w14:textId="77777777" w:rsidR="00FF3A3A" w:rsidRPr="00D44E4E" w:rsidRDefault="00FF3A3A" w:rsidP="00BE6128">
      <w:pPr>
        <w:pStyle w:val="Paragrafoelenco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0C0C0270" w14:textId="77777777" w:rsidR="00FF3A3A" w:rsidRPr="00D44E4E" w:rsidRDefault="006E498E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Per garantire la perequazione è essenziale che</w:t>
      </w:r>
      <w:r w:rsidR="004B3BD3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l’obbligo del</w:t>
      </w:r>
      <w:r w:rsidR="00FF3A3A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contributo urbanistico</w:t>
      </w:r>
      <w:r w:rsidR="004B3BD3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, </w:t>
      </w:r>
      <w:r w:rsidR="00F85D86" w:rsidRPr="00D44E4E">
        <w:rPr>
          <w:rFonts w:ascii="Arial" w:eastAsia="Times New Roman" w:hAnsi="Arial" w:cs="Arial"/>
          <w:color w:val="080809"/>
          <w:kern w:val="0"/>
          <w:lang w:eastAsia="it-IT"/>
        </w:rPr>
        <w:t>a partire dalla</w:t>
      </w:r>
      <w:r w:rsidR="004B3BD3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cessione delle</w:t>
      </w:r>
      <w:r w:rsidR="00FF3A3A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dotazioni minime previste dal Piano,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sia imposto a tutti (parità di funzione e capacità realizzata)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>. Ovviamente i</w:t>
      </w:r>
      <w:r w:rsidR="00FF3A3A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Pian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>i</w:t>
      </w:r>
      <w:r w:rsidR="00FF3A3A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potr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>anno</w:t>
      </w:r>
      <w:r w:rsidR="00FF3A3A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prevedere dotazioni aggiuntive in presenza di 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 xml:space="preserve">particolari </w:t>
      </w:r>
      <w:r w:rsidR="00FF3A3A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condizioni 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>(aree carenti o urbanisticamente destrutturate)</w:t>
      </w:r>
      <w:r w:rsidR="00FF3A3A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, </w:t>
      </w:r>
      <w:r w:rsidR="00F85D86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come gravi </w:t>
      </w:r>
      <w:r w:rsidR="00FF3A3A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deficit di servizi da colmare, per rendere sostenibile e 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 xml:space="preserve">quindi </w:t>
      </w:r>
      <w:r w:rsidR="00FF3A3A" w:rsidRPr="00D44E4E">
        <w:rPr>
          <w:rFonts w:ascii="Arial" w:eastAsia="Times New Roman" w:hAnsi="Arial" w:cs="Arial"/>
          <w:color w:val="080809"/>
          <w:kern w:val="0"/>
          <w:lang w:eastAsia="it-IT"/>
        </w:rPr>
        <w:t>accettabile la trasformazione</w:t>
      </w:r>
      <w:r w:rsidR="005778AB">
        <w:rPr>
          <w:rFonts w:ascii="Arial" w:eastAsia="Times New Roman" w:hAnsi="Arial" w:cs="Arial"/>
          <w:color w:val="080809"/>
          <w:kern w:val="0"/>
          <w:lang w:eastAsia="it-IT"/>
        </w:rPr>
        <w:t xml:space="preserve"> complessa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 xml:space="preserve"> proposta dal privato</w:t>
      </w:r>
      <w:r w:rsidR="00FF3A3A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.  </w:t>
      </w:r>
    </w:p>
    <w:p w14:paraId="43C6320B" w14:textId="77777777" w:rsidR="00BB2D35" w:rsidRPr="00D44E4E" w:rsidRDefault="00BB2D35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257AA20B" w14:textId="77777777" w:rsidR="00BB2D35" w:rsidRPr="00D44E4E" w:rsidRDefault="00BB2D35" w:rsidP="00BE6128">
      <w:pPr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Stante l’impronta innovativa 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>d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>ata da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>lle nuove leggi urbanistiche regionali e conseguentemente dei nuovi Piani, che si misura soprattutto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nella definizione 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 xml:space="preserve">qualitativa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>e nell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>e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funzion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 xml:space="preserve">i che assolvono </w:t>
      </w: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le dotazioni, le norme che prevedono sconti rispetto alle cessioni o peggio al contributo di costruzione, sono </w:t>
      </w:r>
      <w:r w:rsidR="005778AB">
        <w:rPr>
          <w:rFonts w:ascii="Arial" w:eastAsia="Times New Roman" w:hAnsi="Arial" w:cs="Arial"/>
          <w:color w:val="080809"/>
          <w:kern w:val="0"/>
          <w:lang w:eastAsia="it-IT"/>
        </w:rPr>
        <w:t xml:space="preserve">frutto di </w:t>
      </w:r>
      <w:r w:rsidR="0094066D" w:rsidRPr="00D44E4E">
        <w:rPr>
          <w:rFonts w:ascii="Arial" w:eastAsia="Times New Roman" w:hAnsi="Arial" w:cs="Arial"/>
          <w:color w:val="080809"/>
          <w:kern w:val="0"/>
          <w:lang w:eastAsia="it-IT"/>
        </w:rPr>
        <w:t>cecità</w:t>
      </w:r>
      <w:r w:rsidR="000B5EC4">
        <w:rPr>
          <w:rFonts w:ascii="Arial" w:eastAsia="Times New Roman" w:hAnsi="Arial" w:cs="Arial"/>
          <w:color w:val="080809"/>
          <w:kern w:val="0"/>
          <w:lang w:eastAsia="it-IT"/>
        </w:rPr>
        <w:t xml:space="preserve">. Cecità </w:t>
      </w:r>
      <w:r w:rsidR="0094066D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rispetto alle sfide che le città devono urgentemente intraprendere, </w:t>
      </w:r>
      <w:r w:rsidR="005778AB">
        <w:rPr>
          <w:rFonts w:ascii="Arial" w:eastAsia="Times New Roman" w:hAnsi="Arial" w:cs="Arial"/>
          <w:color w:val="080809"/>
          <w:kern w:val="0"/>
          <w:lang w:eastAsia="it-IT"/>
        </w:rPr>
        <w:t>con determinazione e risorse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 xml:space="preserve"> aggiuntive (non con la riduzione!)</w:t>
      </w:r>
      <w:r w:rsidR="005778AB">
        <w:rPr>
          <w:rFonts w:ascii="Arial" w:eastAsia="Times New Roman" w:hAnsi="Arial" w:cs="Arial"/>
          <w:color w:val="080809"/>
          <w:kern w:val="0"/>
          <w:lang w:eastAsia="it-IT"/>
        </w:rPr>
        <w:t xml:space="preserve">, </w:t>
      </w:r>
      <w:r w:rsidR="0094066D" w:rsidRPr="00D44E4E">
        <w:rPr>
          <w:rFonts w:ascii="Arial" w:eastAsia="Times New Roman" w:hAnsi="Arial" w:cs="Arial"/>
          <w:color w:val="080809"/>
          <w:kern w:val="0"/>
          <w:lang w:eastAsia="it-IT"/>
        </w:rPr>
        <w:t>stante il grave ritardo</w:t>
      </w:r>
      <w:r w:rsidR="00846468">
        <w:rPr>
          <w:rFonts w:ascii="Arial" w:eastAsia="Times New Roman" w:hAnsi="Arial" w:cs="Arial"/>
          <w:color w:val="080809"/>
          <w:kern w:val="0"/>
          <w:lang w:eastAsia="it-IT"/>
        </w:rPr>
        <w:t>,</w:t>
      </w:r>
      <w:r w:rsidR="0094066D"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 </w:t>
      </w:r>
      <w:r w:rsidR="005778AB">
        <w:rPr>
          <w:rFonts w:ascii="Arial" w:eastAsia="Times New Roman" w:hAnsi="Arial" w:cs="Arial"/>
          <w:color w:val="080809"/>
          <w:kern w:val="0"/>
          <w:lang w:eastAsia="it-IT"/>
        </w:rPr>
        <w:t xml:space="preserve">che possiamo riscontrare </w:t>
      </w:r>
      <w:r w:rsidR="00F17F52">
        <w:rPr>
          <w:rFonts w:ascii="Arial" w:eastAsia="Times New Roman" w:hAnsi="Arial" w:cs="Arial"/>
          <w:color w:val="080809"/>
          <w:kern w:val="0"/>
          <w:lang w:eastAsia="it-IT"/>
        </w:rPr>
        <w:t>quotidianamente</w:t>
      </w:r>
      <w:r w:rsidR="005778AB">
        <w:rPr>
          <w:rFonts w:ascii="Arial" w:eastAsia="Times New Roman" w:hAnsi="Arial" w:cs="Arial"/>
          <w:color w:val="080809"/>
          <w:kern w:val="0"/>
          <w:lang w:eastAsia="it-IT"/>
        </w:rPr>
        <w:t xml:space="preserve">, </w:t>
      </w:r>
      <w:r w:rsidR="0094066D" w:rsidRPr="00D44E4E">
        <w:rPr>
          <w:rFonts w:ascii="Arial" w:eastAsia="Times New Roman" w:hAnsi="Arial" w:cs="Arial"/>
          <w:color w:val="080809"/>
          <w:kern w:val="0"/>
          <w:lang w:eastAsia="it-IT"/>
        </w:rPr>
        <w:t>sui temi ambientali</w:t>
      </w:r>
      <w:r w:rsidR="00A728EC">
        <w:rPr>
          <w:rFonts w:ascii="Arial" w:eastAsia="Times New Roman" w:hAnsi="Arial" w:cs="Arial"/>
          <w:color w:val="080809"/>
          <w:kern w:val="0"/>
          <w:lang w:eastAsia="it-IT"/>
        </w:rPr>
        <w:t xml:space="preserve"> e sulla sicurezza del territorio. </w:t>
      </w:r>
    </w:p>
    <w:p w14:paraId="6CA755DD" w14:textId="77777777" w:rsidR="00446053" w:rsidRPr="00D44E4E" w:rsidRDefault="00446053" w:rsidP="00BE6128">
      <w:pPr>
        <w:pStyle w:val="Paragrafoelenco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</w:p>
    <w:p w14:paraId="6A95DF44" w14:textId="77777777" w:rsidR="001A7F01" w:rsidRPr="00D44E4E" w:rsidRDefault="00446053" w:rsidP="00BE6128">
      <w:pPr>
        <w:pStyle w:val="Paragrafoelenco"/>
        <w:spacing w:after="0" w:line="294" w:lineRule="atLeast"/>
        <w:jc w:val="both"/>
        <w:rPr>
          <w:rFonts w:ascii="Arial" w:eastAsia="Times New Roman" w:hAnsi="Arial" w:cs="Arial"/>
          <w:color w:val="080809"/>
          <w:kern w:val="0"/>
          <w:lang w:eastAsia="it-IT"/>
        </w:rPr>
      </w:pPr>
      <w:r w:rsidRPr="00D44E4E">
        <w:rPr>
          <w:rFonts w:ascii="Arial" w:eastAsia="Times New Roman" w:hAnsi="Arial" w:cs="Arial"/>
          <w:color w:val="080809"/>
          <w:kern w:val="0"/>
          <w:lang w:eastAsia="it-IT"/>
        </w:rPr>
        <w:t xml:space="preserve">*Questa previsione era contenuta sia nel decreto “Salva Milano” sia in uno dei DDL rigenerazione. Confido che il dibattito che si è aperto in questi ultimi mesi, proprio per contrastare il DL Salva Milano, possa avere prodotto un nuovo sentimento per una nuova fase della Pianificazione urbanistica in Italia. </w:t>
      </w:r>
    </w:p>
    <w:p w14:paraId="12A327C5" w14:textId="77777777" w:rsidR="00D44E4E" w:rsidRPr="00D44E4E" w:rsidRDefault="00D44E4E" w:rsidP="00D44E4E">
      <w:pPr>
        <w:spacing w:after="0" w:line="294" w:lineRule="atLeast"/>
        <w:jc w:val="both"/>
        <w:rPr>
          <w:rFonts w:ascii="Arial" w:hAnsi="Arial" w:cs="Arial"/>
        </w:rPr>
      </w:pPr>
    </w:p>
    <w:p w14:paraId="183971E8" w14:textId="77777777" w:rsidR="00D44E4E" w:rsidRPr="00D44E4E" w:rsidRDefault="00D44E4E" w:rsidP="00D44E4E">
      <w:pPr>
        <w:spacing w:after="0" w:line="294" w:lineRule="atLeast"/>
        <w:jc w:val="both"/>
        <w:rPr>
          <w:rFonts w:ascii="Arial" w:hAnsi="Arial" w:cs="Arial"/>
        </w:rPr>
      </w:pPr>
      <w:r w:rsidRPr="00D44E4E">
        <w:rPr>
          <w:rFonts w:ascii="Arial" w:hAnsi="Arial" w:cs="Arial"/>
        </w:rPr>
        <w:t xml:space="preserve">Giugno 2025 </w:t>
      </w:r>
    </w:p>
    <w:sectPr w:rsidR="00D44E4E" w:rsidRPr="00D44E4E" w:rsidSect="007A548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D59A" w14:textId="77777777" w:rsidR="00F26E7E" w:rsidRDefault="00F26E7E" w:rsidP="009937D1">
      <w:pPr>
        <w:spacing w:after="0" w:line="240" w:lineRule="auto"/>
      </w:pPr>
      <w:r>
        <w:separator/>
      </w:r>
    </w:p>
  </w:endnote>
  <w:endnote w:type="continuationSeparator" w:id="0">
    <w:p w14:paraId="7C8546B0" w14:textId="77777777" w:rsidR="00F26E7E" w:rsidRDefault="00F26E7E" w:rsidP="0099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3841" w14:textId="77777777" w:rsidR="009937D1" w:rsidRDefault="009937D1">
    <w:pPr>
      <w:pStyle w:val="Pidipagina"/>
      <w:pBdr>
        <w:bottom w:val="single" w:sz="6" w:space="1" w:color="auto"/>
      </w:pBdr>
      <w:jc w:val="right"/>
      <w:rPr>
        <w:color w:val="146A90"/>
        <w:sz w:val="20"/>
        <w:szCs w:val="20"/>
      </w:rPr>
    </w:pPr>
  </w:p>
  <w:p w14:paraId="01F9CBDE" w14:textId="77777777" w:rsidR="009937D1" w:rsidRPr="009937D1" w:rsidRDefault="009937D1" w:rsidP="009937D1">
    <w:pPr>
      <w:pStyle w:val="Pidipagina"/>
      <w:jc w:val="center"/>
      <w:rPr>
        <w:color w:val="146A90"/>
      </w:rPr>
    </w:pPr>
    <w:r>
      <w:rPr>
        <w:color w:val="146A90"/>
      </w:rPr>
      <w:br/>
    </w:r>
    <w:hyperlink r:id="rId1" w:history="1">
      <w:r w:rsidRPr="000C3682">
        <w:rPr>
          <w:rStyle w:val="Collegamentoipertestuale"/>
        </w:rPr>
        <w:t>info@annamariavandelli.it</w:t>
      </w:r>
    </w:hyperlink>
  </w:p>
  <w:p w14:paraId="670EA43D" w14:textId="77777777" w:rsidR="009937D1" w:rsidRDefault="009937D1">
    <w:pPr>
      <w:pStyle w:val="Pidipagina"/>
      <w:jc w:val="right"/>
      <w:rPr>
        <w:color w:val="146A90"/>
        <w:sz w:val="20"/>
        <w:szCs w:val="20"/>
      </w:rPr>
    </w:pPr>
  </w:p>
  <w:p w14:paraId="37BFB8E4" w14:textId="77777777" w:rsidR="009937D1" w:rsidRDefault="009937D1">
    <w:pPr>
      <w:pStyle w:val="Pidipagina"/>
      <w:jc w:val="right"/>
      <w:rPr>
        <w:color w:val="146A90"/>
        <w:sz w:val="20"/>
        <w:szCs w:val="20"/>
      </w:rPr>
    </w:pPr>
    <w:r w:rsidRPr="009937D1">
      <w:rPr>
        <w:color w:val="146A90"/>
        <w:sz w:val="20"/>
        <w:szCs w:val="20"/>
      </w:rPr>
      <w:t xml:space="preserve">pag. </w:t>
    </w:r>
    <w:r w:rsidR="002D5F4A" w:rsidRPr="009937D1">
      <w:rPr>
        <w:color w:val="146A90"/>
        <w:sz w:val="20"/>
        <w:szCs w:val="20"/>
      </w:rPr>
      <w:fldChar w:fldCharType="begin"/>
    </w:r>
    <w:r w:rsidRPr="009937D1">
      <w:rPr>
        <w:color w:val="146A90"/>
        <w:sz w:val="20"/>
        <w:szCs w:val="20"/>
      </w:rPr>
      <w:instrText>PAGE  \* Arabic</w:instrText>
    </w:r>
    <w:r w:rsidR="002D5F4A" w:rsidRPr="009937D1">
      <w:rPr>
        <w:color w:val="146A90"/>
        <w:sz w:val="20"/>
        <w:szCs w:val="20"/>
      </w:rPr>
      <w:fldChar w:fldCharType="separate"/>
    </w:r>
    <w:r w:rsidR="000D1FEB">
      <w:rPr>
        <w:noProof/>
        <w:color w:val="146A90"/>
        <w:sz w:val="20"/>
        <w:szCs w:val="20"/>
      </w:rPr>
      <w:t>3</w:t>
    </w:r>
    <w:r w:rsidR="002D5F4A" w:rsidRPr="009937D1">
      <w:rPr>
        <w:color w:val="146A90"/>
        <w:sz w:val="20"/>
        <w:szCs w:val="20"/>
      </w:rPr>
      <w:fldChar w:fldCharType="end"/>
    </w:r>
  </w:p>
  <w:p w14:paraId="5124CF8E" w14:textId="77777777" w:rsidR="009937D1" w:rsidRDefault="00993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9C0D" w14:textId="77777777" w:rsidR="00F26E7E" w:rsidRDefault="00F26E7E" w:rsidP="009937D1">
      <w:pPr>
        <w:spacing w:after="0" w:line="240" w:lineRule="auto"/>
      </w:pPr>
      <w:r>
        <w:separator/>
      </w:r>
    </w:p>
  </w:footnote>
  <w:footnote w:type="continuationSeparator" w:id="0">
    <w:p w14:paraId="67AB7E80" w14:textId="77777777" w:rsidR="00F26E7E" w:rsidRDefault="00F26E7E" w:rsidP="0099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27C9" w14:textId="77777777" w:rsidR="009937D1" w:rsidRDefault="009937D1">
    <w:pPr>
      <w:pStyle w:val="Intestazione"/>
    </w:pPr>
  </w:p>
  <w:p w14:paraId="2F8E35EB" w14:textId="77777777" w:rsidR="009937D1" w:rsidRDefault="009937D1" w:rsidP="009937D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C114F74" wp14:editId="1F2209BB">
          <wp:extent cx="2457450" cy="694088"/>
          <wp:effectExtent l="0" t="0" r="0" b="0"/>
          <wp:docPr id="53717033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0" cy="70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7416C" w14:textId="77777777" w:rsidR="009937D1" w:rsidRDefault="009937D1" w:rsidP="009937D1">
    <w:pPr>
      <w:pStyle w:val="Intestazione"/>
      <w:jc w:val="center"/>
    </w:pPr>
  </w:p>
  <w:p w14:paraId="7A55D041" w14:textId="77777777" w:rsidR="00E86171" w:rsidRDefault="00E86171" w:rsidP="009937D1">
    <w:pPr>
      <w:pStyle w:val="Intestazione"/>
      <w:jc w:val="center"/>
    </w:pPr>
  </w:p>
  <w:p w14:paraId="49234FEA" w14:textId="77777777" w:rsidR="00E86171" w:rsidRDefault="00E86171" w:rsidP="009937D1">
    <w:pPr>
      <w:pStyle w:val="Intestazione"/>
      <w:jc w:val="center"/>
    </w:pPr>
  </w:p>
  <w:p w14:paraId="6ABD990D" w14:textId="77777777" w:rsidR="009937D1" w:rsidRDefault="009937D1" w:rsidP="009937D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366"/>
    <w:multiLevelType w:val="hybridMultilevel"/>
    <w:tmpl w:val="762A909E"/>
    <w:lvl w:ilvl="0" w:tplc="78F024B4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37AC"/>
    <w:multiLevelType w:val="hybridMultilevel"/>
    <w:tmpl w:val="3516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E69A6"/>
    <w:multiLevelType w:val="hybridMultilevel"/>
    <w:tmpl w:val="C3C84206"/>
    <w:lvl w:ilvl="0" w:tplc="A05C5EF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2369731">
    <w:abstractNumId w:val="1"/>
  </w:num>
  <w:num w:numId="2" w16cid:durableId="107284718">
    <w:abstractNumId w:val="2"/>
  </w:num>
  <w:num w:numId="3" w16cid:durableId="90931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30"/>
    <w:rsid w:val="00012918"/>
    <w:rsid w:val="00017A32"/>
    <w:rsid w:val="00093464"/>
    <w:rsid w:val="000B5EC4"/>
    <w:rsid w:val="000D1FEB"/>
    <w:rsid w:val="000F419E"/>
    <w:rsid w:val="0015265F"/>
    <w:rsid w:val="00180C44"/>
    <w:rsid w:val="00193B4E"/>
    <w:rsid w:val="001A7F01"/>
    <w:rsid w:val="001C1453"/>
    <w:rsid w:val="00204E7D"/>
    <w:rsid w:val="00256455"/>
    <w:rsid w:val="00256A66"/>
    <w:rsid w:val="002A2F00"/>
    <w:rsid w:val="002D5F4A"/>
    <w:rsid w:val="00302B5B"/>
    <w:rsid w:val="003318B1"/>
    <w:rsid w:val="003E5A08"/>
    <w:rsid w:val="00446053"/>
    <w:rsid w:val="00447846"/>
    <w:rsid w:val="0045081E"/>
    <w:rsid w:val="004B25A9"/>
    <w:rsid w:val="004B3BD3"/>
    <w:rsid w:val="004C5E4B"/>
    <w:rsid w:val="00517503"/>
    <w:rsid w:val="00554056"/>
    <w:rsid w:val="00564E3E"/>
    <w:rsid w:val="005778AB"/>
    <w:rsid w:val="005E1DD0"/>
    <w:rsid w:val="005E60A4"/>
    <w:rsid w:val="005F7DF3"/>
    <w:rsid w:val="006035D1"/>
    <w:rsid w:val="00691BF2"/>
    <w:rsid w:val="006A1830"/>
    <w:rsid w:val="006E498E"/>
    <w:rsid w:val="00722C81"/>
    <w:rsid w:val="007443A5"/>
    <w:rsid w:val="0075542F"/>
    <w:rsid w:val="007A5482"/>
    <w:rsid w:val="007B6B8A"/>
    <w:rsid w:val="007C4F26"/>
    <w:rsid w:val="00822E3F"/>
    <w:rsid w:val="00830D58"/>
    <w:rsid w:val="00846468"/>
    <w:rsid w:val="00861A58"/>
    <w:rsid w:val="00896047"/>
    <w:rsid w:val="008A4FB9"/>
    <w:rsid w:val="008E29E7"/>
    <w:rsid w:val="008F01E2"/>
    <w:rsid w:val="00914C6C"/>
    <w:rsid w:val="009274D3"/>
    <w:rsid w:val="0094066D"/>
    <w:rsid w:val="00966CE9"/>
    <w:rsid w:val="009937D1"/>
    <w:rsid w:val="009A323A"/>
    <w:rsid w:val="009B759C"/>
    <w:rsid w:val="009D0598"/>
    <w:rsid w:val="00A728EC"/>
    <w:rsid w:val="00A81C7F"/>
    <w:rsid w:val="00A90093"/>
    <w:rsid w:val="00A93C43"/>
    <w:rsid w:val="00AB79C6"/>
    <w:rsid w:val="00AC2BD1"/>
    <w:rsid w:val="00AC2F37"/>
    <w:rsid w:val="00AF351B"/>
    <w:rsid w:val="00B1512C"/>
    <w:rsid w:val="00BA313F"/>
    <w:rsid w:val="00BB2D35"/>
    <w:rsid w:val="00BD0286"/>
    <w:rsid w:val="00BE6128"/>
    <w:rsid w:val="00C0794D"/>
    <w:rsid w:val="00C07BA2"/>
    <w:rsid w:val="00C20640"/>
    <w:rsid w:val="00C316E0"/>
    <w:rsid w:val="00C40665"/>
    <w:rsid w:val="00D148FB"/>
    <w:rsid w:val="00D44E4E"/>
    <w:rsid w:val="00D87A44"/>
    <w:rsid w:val="00D933B8"/>
    <w:rsid w:val="00E11246"/>
    <w:rsid w:val="00E26355"/>
    <w:rsid w:val="00E50B24"/>
    <w:rsid w:val="00E86171"/>
    <w:rsid w:val="00EB1BC4"/>
    <w:rsid w:val="00EC6B72"/>
    <w:rsid w:val="00ED62AC"/>
    <w:rsid w:val="00F17F52"/>
    <w:rsid w:val="00F26E7E"/>
    <w:rsid w:val="00F56026"/>
    <w:rsid w:val="00F85D86"/>
    <w:rsid w:val="00FB0DEF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29EA"/>
  <w15:docId w15:val="{40D5DCDD-C55E-4B5B-B29D-D8F31EB3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171"/>
  </w:style>
  <w:style w:type="paragraph" w:styleId="Titolo1">
    <w:name w:val="heading 1"/>
    <w:basedOn w:val="Normale"/>
    <w:next w:val="Normale"/>
    <w:link w:val="Titolo1Carattere"/>
    <w:uiPriority w:val="9"/>
    <w:qFormat/>
    <w:rsid w:val="006A1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8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8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8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8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8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83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83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8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8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8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8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8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18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183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8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8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830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93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7D1"/>
  </w:style>
  <w:style w:type="paragraph" w:styleId="Pidipagina">
    <w:name w:val="footer"/>
    <w:basedOn w:val="Normale"/>
    <w:link w:val="PidipaginaCarattere"/>
    <w:uiPriority w:val="99"/>
    <w:unhideWhenUsed/>
    <w:rsid w:val="00993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7D1"/>
  </w:style>
  <w:style w:type="character" w:styleId="Collegamentoipertestuale">
    <w:name w:val="Hyperlink"/>
    <w:basedOn w:val="Carpredefinitoparagrafo"/>
    <w:uiPriority w:val="99"/>
    <w:unhideWhenUsed/>
    <w:rsid w:val="009937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37D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namariavandel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BA493-A105-4ECD-A1C2-4AFE3EFE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cbianchi</dc:creator>
  <cp:lastModifiedBy>AnnaMaria</cp:lastModifiedBy>
  <cp:revision>2</cp:revision>
  <cp:lastPrinted>2025-07-12T11:39:00Z</cp:lastPrinted>
  <dcterms:created xsi:type="dcterms:W3CDTF">2025-10-08T14:17:00Z</dcterms:created>
  <dcterms:modified xsi:type="dcterms:W3CDTF">2025-10-08T14:17:00Z</dcterms:modified>
</cp:coreProperties>
</file>